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440"/>
        <w:gridCol w:w="2040"/>
        <w:gridCol w:w="2380"/>
        <w:gridCol w:w="1560"/>
        <w:gridCol w:w="2834"/>
      </w:tblGrid>
      <w:tr>
        <w:tblPrEx>
          <w:tblLayout w:type="fixed"/>
        </w:tblPrEx>
        <w:trPr>
          <w:trHeight w:val="1590" w:hRule="atLeast"/>
        </w:trPr>
        <w:tc>
          <w:tcPr>
            <w:tcW w:w="139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“赤子之心 论辩守正”郑州市律师协会第五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届律师辩论赛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报名</w:t>
            </w: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汇总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（刑事组）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推荐律所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推荐律师姓名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学历／专业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13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隶书">
    <w:altName w:val="宋体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2"/>
        <w:szCs w:val="32"/>
      </w:rPr>
    </w:pPr>
    <w:r>
      <w:rPr>
        <w:b/>
        <w:bCs/>
        <w:sz w:val="32"/>
        <w:szCs w:val="32"/>
      </w:rPr>
      <w:t>附件</w:t>
    </w:r>
    <w:r>
      <w:rPr>
        <w:b/>
        <w:bCs/>
        <w:sz w:val="32"/>
        <w:szCs w:val="32"/>
      </w:rPr>
      <w:t>一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EFD222"/>
    <w:rsid w:val="D3EF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2021-06-18T19:58:00Z</dcterms:created>
  <dc:creator>zhaoyalong</dc:creator>
  <cp:lastModifiedBy>zhaoyalong</cp:lastModifiedBy>
  <dcterms:modified xsi:type="dcterms:W3CDTF">2021-06-18T20:32:06Z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