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号会议室；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报到时必须提供3日内核酸检测报告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6.如疫情原因无法开展线下培训，请留意协会延期举办通知。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CDC50B3"/>
    <w:rsid w:val="1F2C7DA3"/>
    <w:rsid w:val="20E72E88"/>
    <w:rsid w:val="24E35296"/>
    <w:rsid w:val="34C42E30"/>
    <w:rsid w:val="35D14CD6"/>
    <w:rsid w:val="3DDA01C5"/>
    <w:rsid w:val="40676884"/>
    <w:rsid w:val="406902DC"/>
    <w:rsid w:val="49080C0F"/>
    <w:rsid w:val="4FE10BDF"/>
    <w:rsid w:val="512710F4"/>
    <w:rsid w:val="5C724630"/>
    <w:rsid w:val="5F3D321B"/>
    <w:rsid w:val="634E47F7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2021-10-13T00:53:51Z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CD25BDBBD952445E8F544411DB61A0E7</vt:lpwstr>
  </property>
</Properties>
</file>