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begin"/>
      </w:r>
      <w:r>
        <w:rPr>
          <w:rFonts w:hint="eastAsia" w:ascii="宋体" w:hAnsi="宋体" w:eastAsia="宋体" w:cs="宋体"/>
          <w:b/>
          <w:bCs/>
          <w:sz w:val="44"/>
          <w:szCs w:val="44"/>
        </w:rPr>
        <w:instrText xml:space="preserve">HYPERLINK "http://www.zzlawyer.org/attached/file/20190611/20190611171731_7880.docx"</w:instrTex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年度律师事务所考核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结果公示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end"/>
      </w:r>
    </w:p>
    <w:bookmarkEnd w:id="0"/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河南杰和杰律师事务所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河南岩石律师事务所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河南文良律师事务所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河南盈硕律师事务所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金研（郑州）律师事务所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北京乾成（郑州）律师事务所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河南元优律师事务所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河南具匠律师事务所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河南佐相律师事务所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河南一画律师事务所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上海知谦（郑州）律师事务所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河南豫道律师事务所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河南讼音律师事务所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河南金谋（郑州）律师事务所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河南并智律师事务所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河南远恒律师事务所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河南永博律师事务所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北京策略（郑州）律师事务所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河南厚润律师事务所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河南理权律师事务所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北京市康盛（郑州）律师事务所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河南郑港律师事务所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河南华语信律师事务所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河南鼎卿律师事务所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北京君泽君（郑州）律师事务所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河南品卓律师事务所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河南亮辅律师事务所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河南庄敬律师事务所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河南博澳律师事务所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河南钧道律师事务所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北京炜衡（郑州）律师事务所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河南六均律师事务所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河南正臻律师事务所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河南德问行律师事务所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河南豫尊律师事务所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河南中能律师事务所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上海市建纬（郑州）律师事务所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上海段和段（郑州）律师事务所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河南科言律师事务所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河南商都律师事务所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河南金色世纪律师事务所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河南良承律师事务所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河南镜涵律师事务所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河南齐观律师事务所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河南尚天律师事务所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北京国振（郑州）律师事务所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上海中联（郑州）律师事务所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北京德和衡（郑州）律师事务所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河南厚业律师事务所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河南知松律师事务所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河南正商律师事务所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河南益仟律师事务所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河南良善律师事务所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北京康达（郑州）律师事务所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河南元相律师事务所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北京金诚同达（郑州）律师事务所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北京华联（郑州）律师事务所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河南纾解律师事务所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北京市安博（郑州）律师事务所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上海大沧海新闵（郑州）律师事务所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河南祥煜律师事务所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河南九君律师事务所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河南言一律师事务所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河南聿问律师事务所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河南木茂律师事务所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河南迪卡沃律师事务所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河南天坤律师事务所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河南银盈律师事务所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河南功道律师事务所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河南依滨律师事务所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河南长建律师事务所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河南元基律师事务所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河南律范律师事务所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74、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河南啸谦律师事务所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河南林起律师事务所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河南国赢律师事务所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河南卓方律师事务所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河南剑澜律师事务所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79、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河南建霞律师事务所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80、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河南信越律师事务所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TA5MmRjZWUwODRlMjIxNDU2ZjU5NTlkYzQ5N2YifQ=="/>
  </w:docVars>
  <w:rsids>
    <w:rsidRoot w:val="3D3D6A86"/>
    <w:rsid w:val="3D3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2024-05-06T01:19:00Z</dcterms:created>
  <dc:creator>周小点</dc:creator>
  <cp:lastModifiedBy>周小点</cp:lastModifiedBy>
  <dcterms:modified xsi:type="dcterms:W3CDTF">2024-05-06T01:19:51Z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21CF86F1B2A8469DADBB8D987FC1126B_11</vt:lpwstr>
  </property>
</Properties>
</file>