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firstLine="851" w:firstLineChars="2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XX律师事务所律师服务收费标准</w:t>
      </w:r>
    </w:p>
    <w:p>
      <w:pPr>
        <w:spacing w:before="105" w:line="225" w:lineRule="auto"/>
        <w:ind w:left="33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(示范文本)</w:t>
      </w:r>
    </w:p>
    <w:p>
      <w:pPr>
        <w:spacing w:before="186" w:line="358" w:lineRule="auto"/>
        <w:ind w:left="13" w:right="12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条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为规范本所律师服务收费行为，保护委托人、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律师和律师事务所的合法权益，根据《中华人民共和国律师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法》《中华人民共和国价格法》以及司法部、国</w:t>
      </w:r>
      <w:r>
        <w:rPr>
          <w:rFonts w:ascii="仿宋" w:hAnsi="仿宋" w:eastAsia="仿宋" w:cs="仿宋"/>
          <w:spacing w:val="3"/>
          <w:sz w:val="31"/>
          <w:szCs w:val="31"/>
        </w:rPr>
        <w:t>家发展和改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革委员会、国家市场监督管理总局《&lt;关于进一步规范律师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服务收费的意见&gt;的通知》【司发通〔2021〕87号】等有关规</w:t>
      </w:r>
    </w:p>
    <w:p>
      <w:pPr>
        <w:spacing w:before="1"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定，结合本所实际情况，制定本收费标准。</w:t>
      </w:r>
    </w:p>
    <w:p>
      <w:pPr>
        <w:spacing w:before="235" w:line="221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第二条</w:t>
      </w:r>
      <w:r>
        <w:rPr>
          <w:rFonts w:ascii="黑体" w:hAnsi="黑体" w:eastAsia="黑体" w:cs="黑体"/>
          <w:spacing w:val="1"/>
          <w:sz w:val="31"/>
          <w:szCs w:val="31"/>
        </w:rPr>
        <w:t>本所依法对下列法律服务事项收取费用：</w:t>
      </w:r>
    </w:p>
    <w:p>
      <w:pPr>
        <w:spacing w:before="212" w:line="590" w:lineRule="exact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0"/>
          <w:sz w:val="31"/>
          <w:szCs w:val="31"/>
        </w:rPr>
        <w:t>(一)民事诉讼代理事务(含仲裁案件代理事</w:t>
      </w:r>
      <w:r>
        <w:rPr>
          <w:rFonts w:ascii="仿宋" w:hAnsi="仿宋" w:eastAsia="仿宋" w:cs="仿宋"/>
          <w:spacing w:val="17"/>
          <w:position w:val="20"/>
          <w:sz w:val="31"/>
          <w:szCs w:val="31"/>
        </w:rPr>
        <w:t>务、各类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依法设立的调解机构调解案件代理事务);</w:t>
      </w:r>
    </w:p>
    <w:p>
      <w:pPr>
        <w:spacing w:before="214" w:line="589" w:lineRule="exact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0"/>
          <w:sz w:val="31"/>
          <w:szCs w:val="31"/>
        </w:rPr>
        <w:t>(二)行政诉讼代理事务(含行政复议案件代理事务、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申请国家赔偿案件代理事务);</w:t>
      </w:r>
    </w:p>
    <w:p>
      <w:pPr>
        <w:spacing w:before="222" w:line="352" w:lineRule="auto"/>
        <w:ind w:left="13" w:right="109"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(三)刑事诉讼辩护(含侦查、审查起诉、审判阶段)和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代理事务(含刑事附带民事诉讼代理，刑事判决生效后刑事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服刑犯人的申诉、减刑、假释、保外就医、社区监管、罚金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刑的执行、财产没收等委托人需要提供法律服务的代理事</w:t>
      </w:r>
    </w:p>
    <w:p>
      <w:pPr>
        <w:spacing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务);</w:t>
      </w:r>
    </w:p>
    <w:p>
      <w:pPr>
        <w:spacing w:before="214" w:line="222" w:lineRule="auto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(四)委托人常年法律顾问事务和专项法律顾问事务；</w:t>
      </w:r>
    </w:p>
    <w:p>
      <w:pPr>
        <w:spacing w:before="216" w:line="591" w:lineRule="exact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0"/>
          <w:sz w:val="31"/>
          <w:szCs w:val="31"/>
        </w:rPr>
        <w:t>(五)其他各类非诉讼专项代理或办理事务(包括但不</w:t>
      </w:r>
    </w:p>
    <w:p>
      <w:pPr>
        <w:spacing w:before="1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限于解答各类法律咨询、代写各类法律文书、出具律师函、</w:t>
      </w:r>
    </w:p>
    <w:p>
      <w:pPr>
        <w:spacing w:before="216" w:line="727" w:lineRule="exact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31"/>
          <w:sz w:val="31"/>
          <w:szCs w:val="31"/>
        </w:rPr>
        <w:t>法律意见书、尽职调查报告、律师见证书等)。</w:t>
      </w:r>
    </w:p>
    <w:p>
      <w:pPr>
        <w:spacing w:before="1" w:line="220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第三条</w:t>
      </w:r>
      <w:r>
        <w:rPr>
          <w:rFonts w:ascii="黑体" w:hAnsi="黑体" w:eastAsia="黑体" w:cs="黑体"/>
          <w:spacing w:val="-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本所可以采取下列方式收取费用：</w:t>
      </w:r>
    </w:p>
    <w:p>
      <w:pPr>
        <w:sectPr>
          <w:footerReference r:id="rId5" w:type="default"/>
          <w:pgSz w:w="11910" w:h="16840"/>
          <w:pgMar w:top="1423" w:right="1786" w:bottom="1140" w:left="1786" w:header="0" w:footer="983" w:gutter="0"/>
          <w:cols w:space="720" w:num="1"/>
        </w:sectPr>
      </w:pPr>
    </w:p>
    <w:p>
      <w:pPr>
        <w:spacing w:before="279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一)计件收费；</w:t>
      </w:r>
    </w:p>
    <w:p>
      <w:pPr>
        <w:spacing w:before="213" w:line="220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(二)计时收费(按小时或工作日计收);</w:t>
      </w:r>
    </w:p>
    <w:p>
      <w:pPr>
        <w:spacing w:before="221" w:line="593" w:lineRule="exact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(三)按民事、行政、刑事诉讼案件的诉讼程序</w:t>
      </w: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分阶段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收费；</w:t>
      </w:r>
    </w:p>
    <w:p>
      <w:pPr>
        <w:spacing w:before="214" w:line="352" w:lineRule="auto"/>
        <w:ind w:left="13" w:right="280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(四)按民事、行政诉讼案件争议标的额，刑事诉讼案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件犯罪嫌疑人或被告人被指控罪行的涉案金额，非诉讼专项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事务涉及标的额的一定比例分段累计收费；</w:t>
      </w:r>
    </w:p>
    <w:p>
      <w:pPr>
        <w:spacing w:before="217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(五)风险代理收费；</w:t>
      </w:r>
    </w:p>
    <w:p>
      <w:pPr>
        <w:spacing w:before="215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(六)其他经律师事务所和委托人协商一致的收费方式。</w:t>
      </w:r>
    </w:p>
    <w:p>
      <w:pPr>
        <w:spacing w:before="274" w:line="611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2"/>
          <w:sz w:val="31"/>
          <w:szCs w:val="31"/>
        </w:rPr>
        <w:t>以上收费方式，在同一法律事务办理的不同阶</w:t>
      </w:r>
      <w:r>
        <w:rPr>
          <w:rFonts w:ascii="仿宋" w:hAnsi="仿宋" w:eastAsia="仿宋" w:cs="仿宋"/>
          <w:spacing w:val="4"/>
          <w:position w:val="22"/>
          <w:sz w:val="31"/>
          <w:szCs w:val="31"/>
        </w:rPr>
        <w:t>段，可以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选择同一种方式，也可以选择不同种方式。</w:t>
      </w:r>
    </w:p>
    <w:p>
      <w:pPr>
        <w:spacing w:before="217" w:line="358" w:lineRule="auto"/>
        <w:ind w:left="13" w:right="26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第四条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律师服务费的收费方式和收费金额，由本所与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委托人签订相应的法律服务委托合同进行约定，律师服务费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由本所依约定收取，并据实出具合法票据。</w:t>
      </w:r>
    </w:p>
    <w:p>
      <w:pPr>
        <w:spacing w:before="244" w:line="358" w:lineRule="auto"/>
        <w:ind w:left="13" w:right="2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律师个人不得向委托人收取律师服务费。委托人向本所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律师个人或其他单位支付的律师服务费对本所不具有约束</w:t>
      </w:r>
    </w:p>
    <w:p>
      <w:pPr>
        <w:spacing w:before="1"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力。</w:t>
      </w:r>
    </w:p>
    <w:p>
      <w:pPr>
        <w:spacing w:before="195" w:line="358" w:lineRule="auto"/>
        <w:ind w:left="13" w:right="27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第五条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刑事诉讼案件、行政诉讼案件(涉及财产争议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的除外)、国家赔偿案件、群体诉讼案件、婚姻继承案件，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以及请求给予社会保险待遇、最低生活保障待遇、赡养费、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抚养费、扶养费、抚恤金、救济金、工伤赔偿、劳动报酬的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案件不得实行或者变相实行风险代理。</w:t>
      </w:r>
    </w:p>
    <w:p>
      <w:pPr>
        <w:spacing w:before="229" w:line="213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第六条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选择计件收费的，本所可以按照下列标准收取</w:t>
      </w:r>
    </w:p>
    <w:p>
      <w:pPr>
        <w:sectPr>
          <w:footerReference r:id="rId6" w:type="default"/>
          <w:pgSz w:w="11910" w:h="16840"/>
          <w:pgMar w:top="1431" w:right="1644" w:bottom="1135" w:left="1786" w:header="0" w:footer="986" w:gutter="0"/>
          <w:cols w:space="720" w:num="1"/>
        </w:sectPr>
      </w:pPr>
    </w:p>
    <w:p>
      <w:pPr>
        <w:spacing w:before="291" w:line="224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费用：</w:t>
      </w:r>
    </w:p>
    <w:p>
      <w:pPr>
        <w:spacing w:before="153" w:line="341" w:lineRule="auto"/>
        <w:ind w:left="33" w:right="40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(一)担任国家机关、企事业单位及其他组织以及自然 </w:t>
      </w:r>
      <w:r>
        <w:rPr>
          <w:rFonts w:ascii="仿宋" w:hAnsi="仿宋" w:eastAsia="仿宋" w:cs="仿宋"/>
          <w:spacing w:val="-6"/>
          <w:sz w:val="32"/>
          <w:szCs w:val="32"/>
        </w:rPr>
        <w:t>人的常年法律顾问，可按年度计件收费，每年度X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万一</w:t>
      </w:r>
      <w:r>
        <w:rPr>
          <w:rFonts w:ascii="仿宋" w:hAnsi="仿宋" w:eastAsia="仿宋" w:cs="仿宋"/>
          <w:spacing w:val="-7"/>
          <w:sz w:val="32"/>
          <w:szCs w:val="32"/>
        </w:rPr>
        <w:t>Y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元；遇特殊事项，不受最高限额的限制，由本</w:t>
      </w:r>
      <w:r>
        <w:rPr>
          <w:rFonts w:ascii="仿宋" w:hAnsi="仿宋" w:eastAsia="仿宋" w:cs="仿宋"/>
          <w:spacing w:val="-6"/>
          <w:sz w:val="32"/>
          <w:szCs w:val="32"/>
        </w:rPr>
        <w:t>所与委托人商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定。本所律师代理常年法律顾问单位(个人)参加诉讼、仲裁、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调解以及重大的专项法律服务项目，按照聘请常年法律顾问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合同约定应当另行收费的，由本所与委托人协商另行</w:t>
      </w:r>
      <w:r>
        <w:rPr>
          <w:rFonts w:ascii="仿宋" w:hAnsi="仿宋" w:eastAsia="仿宋" w:cs="仿宋"/>
          <w:spacing w:val="-5"/>
          <w:sz w:val="32"/>
          <w:szCs w:val="32"/>
        </w:rPr>
        <w:t>优惠收</w:t>
      </w:r>
    </w:p>
    <w:p>
      <w:pPr>
        <w:spacing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费；</w:t>
      </w:r>
    </w:p>
    <w:p>
      <w:pPr>
        <w:spacing w:before="202" w:line="341" w:lineRule="auto"/>
        <w:ind w:left="33" w:right="103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(二)专项事务法律顾问、法律风险评估或论证、合法 </w:t>
      </w:r>
      <w:r>
        <w:rPr>
          <w:rFonts w:ascii="仿宋" w:hAnsi="仿宋" w:eastAsia="仿宋" w:cs="仿宋"/>
          <w:spacing w:val="-2"/>
          <w:sz w:val="32"/>
          <w:szCs w:val="32"/>
        </w:rPr>
        <w:t>性审查、法律意见书、尽职调查、法律培训等，每件X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万一</w:t>
      </w:r>
    </w:p>
    <w:p>
      <w:pPr>
        <w:spacing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Y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万元；</w:t>
      </w:r>
    </w:p>
    <w:p>
      <w:pPr>
        <w:spacing w:before="200" w:line="590" w:lineRule="exact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0"/>
          <w:sz w:val="32"/>
          <w:szCs w:val="32"/>
        </w:rPr>
        <w:t>(三)立法调研、起草或者修改法律法规、规范性文件、</w:t>
      </w:r>
    </w:p>
    <w:p>
      <w:pPr>
        <w:spacing w:before="1" w:line="220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课题调研、清理规范性文件等，每件X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一Y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pacing w:val="-7"/>
          <w:sz w:val="32"/>
          <w:szCs w:val="32"/>
        </w:rPr>
        <w:t>元；</w:t>
      </w:r>
    </w:p>
    <w:p>
      <w:pPr>
        <w:spacing w:before="206" w:line="342" w:lineRule="auto"/>
        <w:ind w:left="33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(四)投融资、上市、并购、重组、改制、破产、清算、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公司设立、公司治理结构设计、股权及债权债务转让</w:t>
      </w:r>
      <w:r>
        <w:rPr>
          <w:rFonts w:ascii="仿宋" w:hAnsi="仿宋" w:eastAsia="仿宋" w:cs="仿宋"/>
          <w:spacing w:val="-5"/>
          <w:sz w:val="32"/>
          <w:szCs w:val="32"/>
        </w:rPr>
        <w:t>等，每</w:t>
      </w:r>
    </w:p>
    <w:p>
      <w:pPr>
        <w:spacing w:before="1"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件X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万一Y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万元；</w:t>
      </w:r>
    </w:p>
    <w:p>
      <w:pPr>
        <w:spacing w:before="202" w:line="341" w:lineRule="auto"/>
        <w:ind w:left="33" w:right="139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(五)代书、起草、审查修改合同或者其他法</w:t>
      </w:r>
      <w:r>
        <w:rPr>
          <w:rFonts w:ascii="仿宋" w:hAnsi="仿宋" w:eastAsia="仿宋" w:cs="仿宋"/>
          <w:sz w:val="32"/>
          <w:szCs w:val="32"/>
        </w:rPr>
        <w:t xml:space="preserve">律文书、 </w:t>
      </w:r>
      <w:r>
        <w:rPr>
          <w:rFonts w:ascii="仿宋" w:hAnsi="仿宋" w:eastAsia="仿宋" w:cs="仿宋"/>
          <w:spacing w:val="-6"/>
          <w:sz w:val="32"/>
          <w:szCs w:val="32"/>
        </w:rPr>
        <w:t>律师函、律师见证、代为声明、参加谈判、参加专项会议、</w:t>
      </w:r>
    </w:p>
    <w:p>
      <w:pPr>
        <w:spacing w:before="1"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参加专项活动、主持调解等，每件X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一Y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万元；</w:t>
      </w:r>
    </w:p>
    <w:p>
      <w:pPr>
        <w:spacing w:before="202" w:line="343" w:lineRule="auto"/>
        <w:ind w:left="33" w:right="109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(六)办理招商引资、代办商标、专利、著作权申请登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记、商事申请登记、不动产申请登记等其他法</w:t>
      </w:r>
      <w:r>
        <w:rPr>
          <w:rFonts w:ascii="仿宋" w:hAnsi="仿宋" w:eastAsia="仿宋" w:cs="仿宋"/>
          <w:spacing w:val="-5"/>
          <w:sz w:val="32"/>
          <w:szCs w:val="32"/>
        </w:rPr>
        <w:t>律事务，每件</w:t>
      </w:r>
    </w:p>
    <w:p>
      <w:pPr>
        <w:spacing w:before="1" w:line="225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X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万一Y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>
      <w:pPr>
        <w:spacing w:before="188" w:line="220" w:lineRule="auto"/>
        <w:ind w:left="7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第七条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选择计时收费的，本所可按照下列标准收取费</w:t>
      </w:r>
    </w:p>
    <w:p>
      <w:pPr>
        <w:sectPr>
          <w:footerReference r:id="rId7" w:type="default"/>
          <w:pgSz w:w="11910" w:h="16840"/>
          <w:pgMar w:top="1431" w:right="1769" w:bottom="1145" w:left="1786" w:header="0" w:footer="996" w:gutter="0"/>
          <w:cols w:space="720" w:num="1"/>
        </w:sectPr>
      </w:pPr>
    </w:p>
    <w:p>
      <w:pPr>
        <w:spacing w:before="290" w:line="224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用：</w:t>
      </w:r>
    </w:p>
    <w:p>
      <w:pPr>
        <w:spacing w:before="209" w:line="600" w:lineRule="exact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1"/>
          <w:sz w:val="31"/>
          <w:szCs w:val="31"/>
        </w:rPr>
        <w:t>(一)按小时计收：每小时X</w:t>
      </w:r>
      <w:r>
        <w:rPr>
          <w:rFonts w:ascii="仿宋" w:hAnsi="仿宋" w:eastAsia="仿宋" w:cs="仿宋"/>
          <w:spacing w:val="-3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元</w:t>
      </w:r>
      <w:r>
        <w:rPr>
          <w:rFonts w:ascii="仿宋" w:hAnsi="仿宋" w:eastAsia="仿宋" w:cs="仿宋"/>
          <w:spacing w:val="-6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一Y</w:t>
      </w:r>
      <w:r>
        <w:rPr>
          <w:rFonts w:ascii="仿宋" w:hAnsi="仿宋" w:eastAsia="仿宋" w:cs="仿宋"/>
          <w:spacing w:val="-84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元，不足半小时的按</w:t>
      </w:r>
    </w:p>
    <w:p>
      <w:pPr>
        <w:spacing w:before="1" w:line="220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半小时计收；超过半小时不足一小时的按一小时计收；</w:t>
      </w:r>
    </w:p>
    <w:p>
      <w:pPr>
        <w:spacing w:before="228" w:line="357" w:lineRule="auto"/>
        <w:ind w:left="23" w:right="136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(二)按工作日计收：每个工作日X 元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一Y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元，不足半个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工作日的按半个工作日计收；超过半个工作日不足一个工作</w:t>
      </w:r>
    </w:p>
    <w:p>
      <w:pPr>
        <w:spacing w:line="220" w:lineRule="auto"/>
        <w:ind w:left="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日的按一个工作日计收；</w:t>
      </w:r>
    </w:p>
    <w:p>
      <w:pPr>
        <w:spacing w:before="221" w:line="608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2"/>
          <w:sz w:val="31"/>
          <w:szCs w:val="31"/>
        </w:rPr>
        <w:t>律师工作计费的合理时间由委托人和律师协商确定，并</w:t>
      </w:r>
    </w:p>
    <w:p>
      <w:pPr>
        <w:spacing w:before="1" w:line="21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由委托人与本所在委托服务合同中约定。</w:t>
      </w:r>
    </w:p>
    <w:p>
      <w:pPr>
        <w:spacing w:before="222" w:line="606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position w:val="22"/>
          <w:sz w:val="31"/>
          <w:szCs w:val="31"/>
        </w:rPr>
        <w:t>第八条</w:t>
      </w:r>
      <w:r>
        <w:rPr>
          <w:rFonts w:ascii="仿宋" w:hAnsi="仿宋" w:eastAsia="仿宋" w:cs="仿宋"/>
          <w:spacing w:val="44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22"/>
          <w:sz w:val="31"/>
          <w:szCs w:val="31"/>
        </w:rPr>
        <w:t>民事、行政诉讼案件可以按照诉讼程序分阶段</w:t>
      </w:r>
    </w:p>
    <w:p>
      <w:pPr>
        <w:spacing w:line="223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收费：</w:t>
      </w:r>
    </w:p>
    <w:p>
      <w:pPr>
        <w:spacing w:before="232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一)每个阶段收费X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一Y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万元；</w:t>
      </w:r>
    </w:p>
    <w:p>
      <w:pPr>
        <w:spacing w:before="219" w:line="592" w:lineRule="exact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(二)发回重审的，参照原审收费金额酌减收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取律师服</w:t>
      </w:r>
    </w:p>
    <w:p>
      <w:pPr>
        <w:spacing w:line="223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务费。</w:t>
      </w:r>
    </w:p>
    <w:p>
      <w:pPr>
        <w:spacing w:before="200" w:line="364" w:lineRule="auto"/>
        <w:ind w:left="23" w:right="127" w:firstLine="8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第九条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民事、行政诉讼案件涉及争议标的额，或者刑 </w:t>
      </w:r>
      <w:r>
        <w:rPr>
          <w:rFonts w:ascii="仿宋" w:hAnsi="仿宋" w:eastAsia="仿宋" w:cs="仿宋"/>
          <w:spacing w:val="17"/>
          <w:sz w:val="31"/>
          <w:szCs w:val="31"/>
        </w:rPr>
        <w:t>事诉讼案件犯罪嫌疑人或被告人涉嫌或被指控</w:t>
      </w:r>
      <w:r>
        <w:rPr>
          <w:rFonts w:ascii="仿宋" w:hAnsi="仿宋" w:eastAsia="仿宋" w:cs="仿宋"/>
          <w:spacing w:val="16"/>
          <w:sz w:val="31"/>
          <w:szCs w:val="31"/>
        </w:rPr>
        <w:t>罪行具有涉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案金额，刑事附带民事诉讼，以及非诉讼专项事务，可以按</w:t>
      </w:r>
    </w:p>
    <w:p>
      <w:pPr>
        <w:spacing w:before="1"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照涉案标的额的一定比例分段累计收费，按以下标准收费：</w:t>
      </w:r>
    </w:p>
    <w:p>
      <w:pPr>
        <w:spacing w:line="195" w:lineRule="exact"/>
      </w:pPr>
    </w:p>
    <w:tbl>
      <w:tblPr>
        <w:tblStyle w:val="5"/>
        <w:tblW w:w="6659" w:type="dxa"/>
        <w:tblInd w:w="56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59" w:type="dxa"/>
            <w:vAlign w:val="top"/>
          </w:tcPr>
          <w:p>
            <w:pPr>
              <w:spacing w:line="229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2"/>
                <w:sz w:val="31"/>
                <w:szCs w:val="31"/>
              </w:rPr>
              <w:t>标的额或涉案金额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               </w:t>
            </w:r>
            <w:r>
              <w:rPr>
                <w:rFonts w:ascii="仿宋" w:hAnsi="仿宋" w:eastAsia="仿宋" w:cs="仿宋"/>
                <w:spacing w:val="-22"/>
                <w:position w:val="1"/>
                <w:sz w:val="31"/>
                <w:szCs w:val="31"/>
              </w:rPr>
              <w:t>费率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59" w:type="dxa"/>
            <w:vAlign w:val="top"/>
          </w:tcPr>
          <w:p>
            <w:pPr>
              <w:spacing w:before="141" w:line="22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10万元以下的部分(含10万元)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pacing w:val="2"/>
                <w:position w:val="1"/>
                <w:sz w:val="31"/>
                <w:szCs w:val="31"/>
                <w:lang w:val="en-US"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31"/>
                <w:szCs w:val="31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59" w:type="dxa"/>
            <w:vAlign w:val="top"/>
          </w:tcPr>
          <w:p>
            <w:pPr>
              <w:spacing w:before="131" w:line="22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10-50万元的部分(含50万元)</w:t>
            </w:r>
            <w:r>
              <w:rPr>
                <w:rFonts w:ascii="仿宋" w:hAnsi="仿宋" w:eastAsia="仿宋" w:cs="仿宋"/>
                <w:spacing w:val="19"/>
                <w:sz w:val="31"/>
                <w:szCs w:val="3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%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659" w:type="dxa"/>
            <w:vAlign w:val="top"/>
          </w:tcPr>
          <w:p>
            <w:pPr>
              <w:spacing w:before="141" w:line="222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50-100万元的部分(含100万元)</w:t>
            </w: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d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%-</w:t>
            </w: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e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659" w:type="dxa"/>
            <w:vAlign w:val="top"/>
          </w:tcPr>
          <w:p>
            <w:pPr>
              <w:spacing w:before="146" w:line="222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100-500万元的部分(含500万元)</w:t>
            </w:r>
            <w:r>
              <w:rPr>
                <w:rFonts w:ascii="仿宋" w:hAnsi="仿宋" w:eastAsia="仿宋" w:cs="仿宋"/>
                <w:spacing w:val="30"/>
                <w:sz w:val="31"/>
                <w:szCs w:val="31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val="en-US" w:eastAsia="zh-CN"/>
              </w:rPr>
              <w:t>f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%-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val="en-US" w:eastAsia="zh-CN"/>
              </w:rPr>
              <w:t>g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9" w:type="dxa"/>
            <w:vAlign w:val="top"/>
          </w:tcPr>
          <w:p>
            <w:pPr>
              <w:spacing w:before="141" w:line="195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500-1000万元的部分(含1000万元)</w:t>
            </w:r>
            <w:r>
              <w:rPr>
                <w:rFonts w:ascii="仿宋" w:hAnsi="仿宋" w:eastAsia="仿宋" w:cs="仿宋"/>
                <w:spacing w:val="15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h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%-</w:t>
            </w: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i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1431" w:right="1786" w:bottom="1122" w:left="1786" w:header="0" w:footer="963" w:gutter="0"/>
          <w:cols w:space="720" w:num="1"/>
        </w:sectPr>
      </w:pPr>
    </w:p>
    <w:p>
      <w:pPr>
        <w:spacing w:before="269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1000-5000万元的部分(含5000万元)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j</w:t>
      </w:r>
      <w:r>
        <w:rPr>
          <w:rFonts w:ascii="仿宋" w:hAnsi="仿宋" w:eastAsia="仿宋" w:cs="仿宋"/>
          <w:spacing w:val="-2"/>
          <w:sz w:val="31"/>
          <w:szCs w:val="31"/>
        </w:rPr>
        <w:t>%-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k</w:t>
      </w:r>
      <w:r>
        <w:rPr>
          <w:rFonts w:ascii="仿宋" w:hAnsi="仿宋" w:eastAsia="仿宋" w:cs="仿宋"/>
          <w:spacing w:val="-3"/>
          <w:sz w:val="31"/>
          <w:szCs w:val="31"/>
        </w:rPr>
        <w:t>%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</w:p>
    <w:p>
      <w:pPr>
        <w:spacing w:before="227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5000万-1亿元的部分(含1亿元)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   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m</w:t>
      </w:r>
      <w:r>
        <w:rPr>
          <w:rFonts w:ascii="仿宋" w:hAnsi="仿宋" w:eastAsia="仿宋" w:cs="仿宋"/>
          <w:spacing w:val="3"/>
          <w:sz w:val="31"/>
          <w:szCs w:val="31"/>
        </w:rPr>
        <w:t>%-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n</w:t>
      </w:r>
      <w:r>
        <w:rPr>
          <w:rFonts w:ascii="仿宋" w:hAnsi="仿宋" w:eastAsia="仿宋" w:cs="仿宋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</w:p>
    <w:p>
      <w:pPr>
        <w:spacing w:before="247" w:line="222" w:lineRule="auto"/>
        <w:ind w:left="59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-6"/>
          <w:sz w:val="31"/>
          <w:szCs w:val="31"/>
        </w:rPr>
        <w:t>1亿元以上的部分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           </w:t>
      </w:r>
      <w:r>
        <w:rPr>
          <w:rFonts w:hint="eastAsia" w:ascii="Times New Roman" w:hAnsi="Times New Roman" w:eastAsia="宋体" w:cs="Times New Roman"/>
          <w:spacing w:val="-6"/>
          <w:position w:val="2"/>
          <w:sz w:val="24"/>
          <w:szCs w:val="24"/>
          <w:lang w:val="en-US" w:eastAsia="zh-CN"/>
        </w:rPr>
        <w:t>p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>%</w:t>
      </w:r>
      <w:r>
        <w:rPr>
          <w:rFonts w:ascii="仿宋" w:hAnsi="仿宋" w:eastAsia="仿宋" w:cs="仿宋"/>
          <w:spacing w:val="-2"/>
          <w:sz w:val="31"/>
          <w:szCs w:val="31"/>
        </w:rPr>
        <w:t>-</w:t>
      </w:r>
      <w:r>
        <w:rPr>
          <w:rFonts w:hint="eastAsia" w:ascii="Times New Roman" w:hAnsi="Times New Roman" w:eastAsia="宋体" w:cs="Times New Roman"/>
          <w:spacing w:val="-6"/>
          <w:position w:val="2"/>
          <w:sz w:val="24"/>
          <w:szCs w:val="24"/>
          <w:lang w:val="en-US" w:eastAsia="zh-CN"/>
        </w:rPr>
        <w:t>q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>%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 </w:t>
      </w:r>
    </w:p>
    <w:p>
      <w:pPr>
        <w:spacing w:before="195" w:line="610" w:lineRule="exact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2"/>
          <w:sz w:val="31"/>
          <w:szCs w:val="31"/>
        </w:rPr>
        <w:t>相同的承办律师或本所不同的承办律师连续办理两个</w:t>
      </w:r>
    </w:p>
    <w:p>
      <w:pPr>
        <w:spacing w:before="1" w:line="221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程序(含两个程序)以上的，可相应酌减收取律师服务费。</w:t>
      </w:r>
    </w:p>
    <w:p>
      <w:pPr>
        <w:spacing w:before="204" w:line="625" w:lineRule="exact"/>
        <w:ind w:left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position w:val="23"/>
          <w:sz w:val="31"/>
          <w:szCs w:val="31"/>
        </w:rPr>
        <w:t>第十条</w:t>
      </w:r>
      <w:r>
        <w:rPr>
          <w:rFonts w:ascii="仿宋" w:hAnsi="仿宋" w:eastAsia="仿宋" w:cs="仿宋"/>
          <w:spacing w:val="-2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刑事案件不涉及金额的，或者不按照涉案金额</w:t>
      </w:r>
    </w:p>
    <w:p>
      <w:pPr>
        <w:spacing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收费的，本所按照以下标准收费：</w:t>
      </w:r>
    </w:p>
    <w:p>
      <w:pPr>
        <w:spacing w:before="234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(一)按照办案阶段收费</w:t>
      </w:r>
    </w:p>
    <w:p>
      <w:pPr>
        <w:spacing w:before="208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1.侦查阶段，每件收费X-Y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元。</w:t>
      </w:r>
    </w:p>
    <w:p>
      <w:pPr>
        <w:spacing w:before="227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2.审查起诉阶段，每件收费X-Y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元。</w:t>
      </w:r>
    </w:p>
    <w:p>
      <w:pPr>
        <w:spacing w:before="227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3.一审阶段，每件收费X-Y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元。</w:t>
      </w:r>
    </w:p>
    <w:p>
      <w:pPr>
        <w:spacing w:before="209" w:line="599" w:lineRule="exact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(二)二审、死刑复核、再审、申诉案件以及刑事自诉案</w:t>
      </w:r>
    </w:p>
    <w:p>
      <w:pPr>
        <w:spacing w:before="1" w:line="221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件按照一审阶段的收费标准收取律师服务费。</w:t>
      </w:r>
    </w:p>
    <w:p>
      <w:pPr>
        <w:spacing w:before="225" w:line="604" w:lineRule="exact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2"/>
          <w:sz w:val="31"/>
          <w:szCs w:val="31"/>
        </w:rPr>
        <w:t>(三)犯罪嫌疑人、被告人同时涉及几个罪名或者数起</w:t>
      </w:r>
    </w:p>
    <w:p>
      <w:pPr>
        <w:spacing w:before="1"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犯罪事实的，可按照所涉罪名或犯罪事实分别计件收取。</w:t>
      </w:r>
    </w:p>
    <w:p>
      <w:pPr>
        <w:spacing w:before="212" w:line="644" w:lineRule="exact"/>
        <w:ind w:left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25"/>
          <w:sz w:val="31"/>
          <w:szCs w:val="31"/>
        </w:rPr>
        <w:t>第十</w:t>
      </w:r>
      <w:r>
        <w:rPr>
          <w:rFonts w:ascii="仿宋" w:hAnsi="仿宋" w:eastAsia="仿宋" w:cs="仿宋"/>
          <w:spacing w:val="-91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position w:val="25"/>
          <w:sz w:val="31"/>
          <w:szCs w:val="31"/>
        </w:rPr>
        <w:t>一</w:t>
      </w:r>
      <w:r>
        <w:rPr>
          <w:rFonts w:ascii="仿宋" w:hAnsi="仿宋" w:eastAsia="仿宋" w:cs="仿宋"/>
          <w:spacing w:val="-91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position w:val="25"/>
          <w:sz w:val="31"/>
          <w:szCs w:val="31"/>
        </w:rPr>
        <w:t>条</w:t>
      </w:r>
      <w:r>
        <w:rPr>
          <w:rFonts w:ascii="仿宋" w:hAnsi="仿宋" w:eastAsia="仿宋" w:cs="仿宋"/>
          <w:spacing w:val="-44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5"/>
          <w:sz w:val="31"/>
          <w:szCs w:val="31"/>
        </w:rPr>
        <w:t>选择风险代理收费的，本所按照下列标准收</w:t>
      </w:r>
    </w:p>
    <w:p>
      <w:pPr>
        <w:spacing w:before="1"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取费用：</w:t>
      </w:r>
    </w:p>
    <w:p>
      <w:pPr>
        <w:spacing w:before="187" w:line="357" w:lineRule="auto"/>
        <w:ind w:left="33" w:right="61" w:firstLine="8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(一)按风险代理合同中约定的委托法律事务达到合同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约定的代理或办理目标的情况下，收取合同约定的固定律师</w:t>
      </w:r>
    </w:p>
    <w:p>
      <w:pPr>
        <w:spacing w:before="1"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服务费；</w:t>
      </w:r>
    </w:p>
    <w:p>
      <w:pPr>
        <w:spacing w:before="224" w:line="600" w:lineRule="exact"/>
        <w:ind w:left="8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1"/>
          <w:sz w:val="31"/>
          <w:szCs w:val="31"/>
        </w:rPr>
        <w:t>(二)按照委托人最终实现的债权、利益数额或者减免</w:t>
      </w:r>
    </w:p>
    <w:p>
      <w:pPr>
        <w:spacing w:before="2" w:line="220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的债务、损失等标的额的一定比例收费。</w:t>
      </w:r>
    </w:p>
    <w:p>
      <w:pPr>
        <w:spacing w:before="238" w:line="221" w:lineRule="auto"/>
        <w:ind w:left="5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第十二条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本所在风险代理各个环节收取的风险代理律</w:t>
      </w:r>
    </w:p>
    <w:p>
      <w:pPr>
        <w:sectPr>
          <w:footerReference r:id="rId9" w:type="default"/>
          <w:pgSz w:w="11910" w:h="16840"/>
          <w:pgMar w:top="1431" w:right="1786" w:bottom="1071" w:left="1786" w:header="0" w:footer="871" w:gutter="0"/>
          <w:cols w:space="720" w:num="1"/>
        </w:sectPr>
      </w:pPr>
    </w:p>
    <w:p>
      <w:pPr>
        <w:spacing w:before="275" w:line="221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师服务费合计最高金额执行下列标准：</w:t>
      </w:r>
    </w:p>
    <w:p>
      <w:pPr>
        <w:spacing w:before="253" w:line="600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22"/>
          <w:sz w:val="30"/>
          <w:szCs w:val="30"/>
        </w:rPr>
        <w:t>(一)标的额不足人民币100万元的部分，按X%</w:t>
      </w:r>
      <w:r>
        <w:rPr>
          <w:rFonts w:ascii="仿宋" w:hAnsi="仿宋" w:eastAsia="仿宋" w:cs="仿宋"/>
          <w:spacing w:val="7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position w:val="22"/>
          <w:sz w:val="30"/>
          <w:szCs w:val="30"/>
        </w:rPr>
        <w:t>(不得</w:t>
      </w:r>
    </w:p>
    <w:p>
      <w:pPr>
        <w:spacing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超过标的额的18%)收取；</w:t>
      </w:r>
    </w:p>
    <w:p>
      <w:pPr>
        <w:spacing w:before="233" w:line="605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3"/>
          <w:sz w:val="30"/>
          <w:szCs w:val="30"/>
        </w:rPr>
        <w:t>(二)标的额在人民币100万元以上不足500万元的部</w:t>
      </w:r>
    </w:p>
    <w:p>
      <w:pPr>
        <w:spacing w:before="1"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分，按X%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(不得超过标的额的15%)收取；</w:t>
      </w:r>
    </w:p>
    <w:p>
      <w:pPr>
        <w:spacing w:before="234" w:line="604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6"/>
          <w:position w:val="23"/>
          <w:sz w:val="30"/>
          <w:szCs w:val="30"/>
        </w:rPr>
        <w:t>(三)标的额在人民币500万元以上不足1000万元的</w:t>
      </w:r>
    </w:p>
    <w:p>
      <w:pPr>
        <w:spacing w:before="1"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部分，按X%</w:t>
      </w:r>
      <w:r>
        <w:rPr>
          <w:rFonts w:ascii="仿宋" w:hAnsi="仿宋" w:eastAsia="仿宋" w:cs="仿宋"/>
          <w:spacing w:val="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(不得超过标的额的12%)收取；</w:t>
      </w:r>
    </w:p>
    <w:p>
      <w:pPr>
        <w:spacing w:before="234" w:line="605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3"/>
          <w:sz w:val="30"/>
          <w:szCs w:val="30"/>
        </w:rPr>
        <w:t>(四)标的额在人民币1000万元以上不足5000万元以</w:t>
      </w:r>
    </w:p>
    <w:p>
      <w:pPr>
        <w:spacing w:line="222" w:lineRule="auto"/>
        <w:ind w:left="1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上的部分，按X%</w:t>
      </w:r>
      <w:r>
        <w:rPr>
          <w:rFonts w:ascii="仿宋" w:hAnsi="仿宋" w:eastAsia="仿宋" w:cs="仿宋"/>
          <w:spacing w:val="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(不得超过标的额的9%)收取；</w:t>
      </w:r>
    </w:p>
    <w:p>
      <w:pPr>
        <w:spacing w:before="234" w:line="605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23"/>
          <w:sz w:val="30"/>
          <w:szCs w:val="30"/>
        </w:rPr>
        <w:t>(五)标的额在人民币5000万元以上的部分，按X%</w:t>
      </w:r>
      <w:r>
        <w:rPr>
          <w:rFonts w:ascii="仿宋" w:hAnsi="仿宋" w:eastAsia="仿宋" w:cs="仿宋"/>
          <w:spacing w:val="-34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position w:val="23"/>
          <w:sz w:val="30"/>
          <w:szCs w:val="30"/>
        </w:rPr>
        <w:t>(</w:t>
      </w:r>
      <w:r>
        <w:rPr>
          <w:rFonts w:ascii="仿宋" w:hAnsi="仿宋" w:eastAsia="仿宋" w:cs="仿宋"/>
          <w:spacing w:val="-32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position w:val="23"/>
          <w:sz w:val="30"/>
          <w:szCs w:val="30"/>
        </w:rPr>
        <w:t>不</w:t>
      </w:r>
    </w:p>
    <w:p>
      <w:pPr>
        <w:spacing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得超过标的额的6%)收取。</w:t>
      </w:r>
    </w:p>
    <w:p>
      <w:pPr>
        <w:spacing w:before="207" w:line="623" w:lineRule="exact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24"/>
          <w:sz w:val="30"/>
          <w:szCs w:val="30"/>
        </w:rPr>
        <w:t>实行风险代理收费的，由本所与委托人签订专门的风险</w:t>
      </w:r>
    </w:p>
    <w:p>
      <w:pPr>
        <w:spacing w:line="223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代理委托合同。</w:t>
      </w:r>
    </w:p>
    <w:p>
      <w:pPr>
        <w:spacing w:before="203" w:line="604" w:lineRule="exact"/>
        <w:ind w:left="66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2"/>
          <w:position w:val="22"/>
          <w:sz w:val="30"/>
          <w:szCs w:val="30"/>
        </w:rPr>
        <w:t>第十三条</w:t>
      </w:r>
      <w:r>
        <w:rPr>
          <w:rFonts w:ascii="仿宋" w:hAnsi="仿宋" w:eastAsia="仿宋" w:cs="仿宋"/>
          <w:spacing w:val="-35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position w:val="22"/>
          <w:sz w:val="30"/>
          <w:szCs w:val="30"/>
        </w:rPr>
        <w:t>选择其他经委托人和本所协商一致的收费方</w:t>
      </w:r>
    </w:p>
    <w:p>
      <w:pPr>
        <w:spacing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式的，由委托人与本所依据收费原则协商确定。</w:t>
      </w:r>
    </w:p>
    <w:p>
      <w:pPr>
        <w:spacing w:before="235" w:line="370" w:lineRule="auto"/>
        <w:ind w:left="33" w:right="101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1"/>
          <w:sz w:val="30"/>
          <w:szCs w:val="30"/>
        </w:rPr>
        <w:t>第十四条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无论选择以上何种收费方式，对于涉及农民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工、残疾人和困难群众等社会弱势群体，或者涉及与公益活</w:t>
      </w:r>
    </w:p>
    <w:p>
      <w:pPr>
        <w:spacing w:before="1" w:line="221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动有关的法律服务事项，本所将酌情减免律师服务</w:t>
      </w:r>
      <w:r>
        <w:rPr>
          <w:rFonts w:ascii="仿宋" w:hAnsi="仿宋" w:eastAsia="仿宋" w:cs="仿宋"/>
          <w:spacing w:val="12"/>
          <w:sz w:val="30"/>
          <w:szCs w:val="30"/>
        </w:rPr>
        <w:t>费。</w:t>
      </w:r>
    </w:p>
    <w:p>
      <w:pPr>
        <w:spacing w:before="248" w:line="221" w:lineRule="auto"/>
        <w:ind w:left="66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第十五条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2"/>
          <w:sz w:val="30"/>
          <w:szCs w:val="30"/>
        </w:rPr>
        <w:t>有关案件审级或者阶段及其他事项说明：</w:t>
      </w:r>
    </w:p>
    <w:p>
      <w:pPr>
        <w:spacing w:before="222" w:line="375" w:lineRule="auto"/>
        <w:ind w:left="33" w:right="102" w:firstLine="7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(一)民事诉讼、行政诉讼案件分为一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审、二审(包括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二审发回重审之后进行的一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审、二审)、执行、申请再审、</w:t>
      </w:r>
    </w:p>
    <w:p>
      <w:pPr>
        <w:spacing w:line="220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申请抗诉阶段、进入再审阶段。</w:t>
      </w:r>
    </w:p>
    <w:p>
      <w:pPr>
        <w:spacing w:before="233" w:line="220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申请国家赔偿案件分为申请赔偿阶段、申请复议阶段。</w:t>
      </w:r>
    </w:p>
    <w:p>
      <w:pPr>
        <w:sectPr>
          <w:footerReference r:id="rId10" w:type="default"/>
          <w:pgSz w:w="11910" w:h="16840"/>
          <w:pgMar w:top="1431" w:right="1786" w:bottom="1085" w:left="1786" w:header="0" w:footer="866" w:gutter="0"/>
          <w:cols w:space="720" w:num="1"/>
        </w:sectPr>
      </w:pPr>
    </w:p>
    <w:p>
      <w:pPr>
        <w:spacing w:before="287" w:line="588" w:lineRule="exact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刑事案件分为侦查阶段、审查起诉阶段、</w:t>
      </w:r>
      <w:r>
        <w:rPr>
          <w:rFonts w:ascii="仿宋" w:hAnsi="仿宋" w:eastAsia="仿宋" w:cs="仿宋"/>
          <w:spacing w:val="8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一审</w:t>
      </w:r>
      <w:r>
        <w:rPr>
          <w:rFonts w:ascii="仿宋" w:hAnsi="仿宋" w:eastAsia="仿宋" w:cs="仿宋"/>
          <w:spacing w:val="-7"/>
          <w:position w:val="20"/>
          <w:sz w:val="31"/>
          <w:szCs w:val="31"/>
        </w:rPr>
        <w:t>、二审、</w:t>
      </w:r>
    </w:p>
    <w:p>
      <w:pPr>
        <w:spacing w:line="22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申请再审阶段、申请抗诉阶段、进入再审阶段等。</w:t>
      </w:r>
    </w:p>
    <w:p>
      <w:pPr>
        <w:spacing w:before="228" w:line="358" w:lineRule="auto"/>
        <w:ind w:left="43" w:right="235" w:firstLine="7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(二)本所在提供法律服务过程中代委托人支付的诉讼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费、仲裁费、鉴定费、公证费、查档费、保全费、翻译费</w:t>
      </w:r>
      <w:r>
        <w:rPr>
          <w:rFonts w:ascii="仿宋" w:hAnsi="仿宋" w:eastAsia="仿宋" w:cs="仿宋"/>
          <w:spacing w:val="4"/>
          <w:sz w:val="31"/>
          <w:szCs w:val="31"/>
        </w:rPr>
        <w:t>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费用和律师异地办案的差旅费，不属于律师服</w:t>
      </w:r>
      <w:r>
        <w:rPr>
          <w:rFonts w:ascii="仿宋" w:hAnsi="仿宋" w:eastAsia="仿宋" w:cs="仿宋"/>
          <w:spacing w:val="4"/>
          <w:sz w:val="31"/>
          <w:szCs w:val="31"/>
        </w:rPr>
        <w:t>务费，由委托</w:t>
      </w:r>
    </w:p>
    <w:p>
      <w:pPr>
        <w:spacing w:before="1" w:line="22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人另行承担。</w:t>
      </w:r>
    </w:p>
    <w:p>
      <w:pPr>
        <w:spacing w:before="225" w:line="358" w:lineRule="auto"/>
        <w:ind w:left="43" w:right="260" w:firstLine="7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(三)委托人可以将同一法律事务委托给本所律师单独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办理，也可以委托给其它律师事务所的律师与本所律师共同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办理；其它律师事务所和本所的律师可以合作承接、共同承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办同一法律事务。其它律师事务所与本所合作承接、共同承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办同一法律事务时，律师服务费的收取和分配可在委托合同</w:t>
      </w:r>
    </w:p>
    <w:p>
      <w:pPr>
        <w:spacing w:line="222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中约定。</w:t>
      </w:r>
    </w:p>
    <w:p>
      <w:pPr>
        <w:spacing w:before="221" w:line="359" w:lineRule="auto"/>
        <w:ind w:left="43" w:right="263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第十六条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因律师服务收费发生争议的，本所和委托人</w:t>
      </w:r>
      <w:r>
        <w:rPr>
          <w:rFonts w:ascii="仿宋" w:hAnsi="仿宋" w:eastAsia="仿宋" w:cs="仿宋"/>
          <w:sz w:val="31"/>
          <w:szCs w:val="31"/>
        </w:rPr>
        <w:t xml:space="preserve"> 可以协商解决；协商不成的，双方均可提请XX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律师协会进行</w:t>
      </w:r>
    </w:p>
    <w:p>
      <w:pPr>
        <w:spacing w:line="222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调解。</w:t>
      </w:r>
    </w:p>
    <w:p>
      <w:pPr>
        <w:spacing w:before="223" w:line="602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21"/>
          <w:sz w:val="31"/>
          <w:szCs w:val="31"/>
        </w:rPr>
        <w:t>第十七条</w:t>
      </w:r>
      <w:r>
        <w:rPr>
          <w:rFonts w:ascii="仿宋" w:hAnsi="仿宋" w:eastAsia="仿宋" w:cs="仿宋"/>
          <w:spacing w:val="-1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本所律师服务收费标准报</w:t>
      </w:r>
      <w:r>
        <w:rPr>
          <w:rFonts w:ascii="Times New Roman" w:hAnsi="Times New Roman" w:eastAsia="Times New Roman" w:cs="Times New Roman"/>
          <w:position w:val="21"/>
          <w:sz w:val="25"/>
          <w:szCs w:val="25"/>
        </w:rPr>
        <w:t>XX</w:t>
      </w:r>
      <w:r>
        <w:rPr>
          <w:rFonts w:ascii="Times New Roman" w:hAnsi="Times New Roman" w:eastAsia="Times New Roman" w:cs="Times New Roman"/>
          <w:spacing w:val="-2"/>
          <w:position w:val="2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市律师协会备案，</w:t>
      </w:r>
    </w:p>
    <w:p>
      <w:pPr>
        <w:spacing w:before="1" w:line="220" w:lineRule="auto"/>
        <w:ind w:left="113"/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</w:rPr>
        <w:t>自备案通过之日起施行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。</w:t>
      </w:r>
      <w:bookmarkStart w:id="0" w:name="_GoBack"/>
      <w:bookmarkEnd w:id="0"/>
    </w:p>
    <w:p>
      <w:pPr>
        <w:rPr>
          <w:rFonts w:ascii="仿宋" w:hAnsi="仿宋" w:eastAsia="仿宋" w:cs="仿宋"/>
          <w:spacing w:val="-2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20" w:lineRule="exact"/>
        <w:textAlignment w:val="baseline"/>
        <w:rPr>
          <w:rFonts w:ascii="仿宋" w:hAnsi="仿宋" w:eastAsia="仿宋" w:cs="仿宋"/>
          <w:sz w:val="31"/>
          <w:szCs w:val="31"/>
        </w:rPr>
      </w:pPr>
    </w:p>
    <w:sectPr>
      <w:footerReference r:id="rId11" w:type="default"/>
      <w:pgSz w:w="12110" w:h="16980"/>
      <w:pgMar w:top="1443" w:right="1816" w:bottom="1132" w:left="1816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3"/>
      <w:rPr>
        <w:rFonts w:ascii="仿宋" w:hAnsi="仿宋" w:eastAsia="仿宋" w:cs="仿宋"/>
        <w:sz w:val="16"/>
        <w:szCs w:val="16"/>
      </w:rPr>
    </w:pPr>
    <w:r>
      <w:rPr>
        <w:rFonts w:ascii="仿宋" w:hAnsi="仿宋" w:eastAsia="仿宋" w:cs="仿宋"/>
        <w:spacing w:val="-5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13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73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13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7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16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3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17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3"/>
      <w:rPr>
        <w:rFonts w:ascii="宋体" w:hAnsi="宋体" w:eastAsia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yYTFmZjdhMzlhZDY1NmM3NTRhZGU2MGZiN2Q0NDQifQ=="/>
    <w:docVar w:name="KSO_WPS_MARK_KEY" w:val="b77cb71c-da79-4766-9f08-bd3b7287108e"/>
  </w:docVars>
  <w:rsids>
    <w:rsidRoot w:val="00000000"/>
    <w:rsid w:val="02805376"/>
    <w:rsid w:val="087202DE"/>
    <w:rsid w:val="2A497D39"/>
    <w:rsid w:val="4E537806"/>
    <w:rsid w:val="67946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3055</Words>
  <Characters>3222</Characters>
  <TotalTime>0</TotalTime>
  <ScaleCrop>false</ScaleCrop>
  <LinksUpToDate>false</LinksUpToDate>
  <CharactersWithSpaces>3384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2023-02-23T15:49:00Z</dcterms:created>
  <dc:creator>Kingsoft-PDF</dc:creator>
  <cp:lastModifiedBy>王哲</cp:lastModifiedBy>
  <dcterms:modified xsi:type="dcterms:W3CDTF">2024-04-30T09:07:53Z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2023-02-23T15:49:38Z</vt:filetime>
  </property>
  <property fmtid="{D5CDD505-2E9C-101B-9397-08002B2CF9AE}" pid="4" name="UsrData">
    <vt:lpwstr>63f71a700d38b700159553ee</vt:lpwstr>
  </property>
  <property fmtid="{D5CDD505-2E9C-101B-9397-08002B2CF9AE}" pid="5" name="KSOProductBuildVer">
    <vt:lpwstr>2052-12.1.0.16417</vt:lpwstr>
  </property>
  <property fmtid="{D5CDD505-2E9C-101B-9397-08002B2CF9AE}" pid="6" name="ICV">
    <vt:lpwstr>4F8F48473F534B8FAB94E36871FCCF4B_13</vt:lpwstr>
  </property>
</Properties>
</file>